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5B2333"/>
          <w:sz w:val="48"/>
          <w:rtl/>
          <w:szCs w:val="48"/>
          <w:bCs/>
        </w:rPr>
        <w:t>חוברת למידה עצמית: שירי התחדשות וזמן מחזורי</w:t>
      </w:r>
    </w:p>
    <w:p>
      <w:pPr>
        <w:bidi/>
        <w:jc w:val="center"/>
      </w:pPr>
      <w:r>
        <w:rPr>
          <w:rFonts w:ascii="Arial" w:hAnsi="Arial" w:cs="Arial"/>
          <w:color w:val="555577"/>
          <w:sz w:val="28"/>
          <w:rtl/>
          <w:szCs w:val="28"/>
        </w:rPr>
        <w:t>לאה גולדברג · נעמי שמר · אהוד מנור · שירים · חט״ב (ז׳–ט׳)</w:t>
      </w:r>
    </w:p>
    <w:p>
      <w:pPr>
        <w:bidi/>
        <w:jc w:val="right"/>
      </w:pPr>
      <w:r>
        <w:rPr>
          <w:rFonts w:ascii="Arial" w:hAnsi="Arial" w:cs="Arial"/>
          <w:sz w:val="24"/>
          <w:rtl/>
          <w:szCs w:val="24"/>
        </w:rPr>
        <w:t>• מהדורה למורה: תשובות, מחוון, מערך שיעור, התאמות</w:t>
      </w:r>
    </w:p>
    <w:p>
      <w:pPr>
        <w:bidi/>
        <w:jc w:val="right"/>
      </w:pPr>
      <w:r>
        <w:rPr>
          <w:rFonts w:ascii="Arial" w:hAnsi="Arial" w:cs="Arial"/>
          <w:sz w:val="24"/>
          <w:rtl/>
          <w:szCs w:val="24"/>
        </w:rPr>
        <w:t>• חלק א׳ – הבנה ומידע</w:t>
      </w:r>
    </w:p>
    <w:p>
      <w:pPr>
        <w:bidi/>
        <w:jc w:val="right"/>
      </w:pPr>
      <w:r>
        <w:rPr>
          <w:rFonts w:ascii="Arial" w:hAnsi="Arial" w:cs="Arial"/>
          <w:sz w:val="24"/>
          <w:rtl/>
          <w:szCs w:val="24"/>
        </w:rPr>
        <w:t>• חלק ב׳ – פרשנות ואמצעים אומנותיים</w:t>
      </w:r>
    </w:p>
    <w:p>
      <w:pPr>
        <w:bidi/>
        <w:jc w:val="right"/>
      </w:pPr>
      <w:r>
        <w:rPr>
          <w:rFonts w:ascii="Arial" w:hAnsi="Arial" w:cs="Arial"/>
          <w:sz w:val="24"/>
          <w:rtl/>
          <w:szCs w:val="24"/>
        </w:rPr>
        <w:t>• חלק ג׳ – כתיבה והערכה</w:t>
      </w:r>
    </w:p>
    <w:p>
      <w:pPr>
        <w:bidi/>
        <w:jc w:val="right"/>
      </w:pPr>
      <w:r>
        <w:rPr>
          <w:rFonts w:ascii="Arial" w:hAnsi="Arial" w:cs="Arial"/>
          <w:sz w:val="24"/>
          <w:rtl/>
          <w:szCs w:val="24"/>
        </w:rPr>
        <w:t>• כרטיס יציאה</w:t>
      </w:r>
    </w:p>
    <w:p>
      <w:r>
        <w:br w:type="page"/>
      </w:r>
    </w:p>
    <w:p>
      <w:pPr>
        <w:bidi/>
        <w:pStyle w:val="Heading1"/>
        <w:jc w:val="right"/>
      </w:pPr>
      <w:r>
        <w:rPr>
          <w:rFonts w:ascii="Arial" w:hAnsi="Arial" w:cs="Arial"/>
          <w:b/>
          <w:color w:val="5B2333"/>
          <w:sz w:val="40"/>
          <w:rtl/>
          <w:szCs w:val="40"/>
          <w:bCs/>
        </w:rPr>
        <w:t>👩‍🏫 מהדורה למורה</w:t>
      </w:r>
    </w:p>
    <w:p>
      <w:pPr>
        <w:bidi/>
        <w:jc w:val="right"/>
      </w:pPr>
      <w:r>
        <w:rPr>
          <w:rFonts w:ascii="Arial" w:hAnsi="Arial" w:cs="Arial"/>
          <w:color w:val="555577"/>
          <w:sz w:val="24"/>
          <w:rtl/>
          <w:szCs w:val="24"/>
        </w:rPr>
        <w:t>שלושה יוצרים אהובים של השירה והזמר העברי, שלושה שירים ונושא אחד: הזמן שחוזר במעגל והתקווה שבאה איתו. לאה גולדברג, משוררת שאהבה את הטבע ואת היופי שבחיי היומיום; נעמי שמר, שנולדה על שפת הכנרת וכתבה שירים שהפכו לנכסי צאן ברזל; ואהוד מנור, פזמונאי שכתב מאות שירים על געגוע ותקווה. “גם השנה”, “אחרי החגים” (שיר ההתחדשות של נעמי שמר) ו“בשנה הבאה” מלמדים אותנו שגם אחרי סתיו עייף – משהו חדש יכול להתחיל. נקרא אותם יחד, נשווה ביניהם, ונבדוק איך הלשון עצמה – זמן עתיד ומילות קישור – בונה תקווה.</w:t>
      </w:r>
    </w:p>
    <w:p>
      <w:pPr>
        <w:bidi/>
        <w:pStyle w:val="Heading2"/>
        <w:jc w:val="right"/>
      </w:pPr>
      <w:r>
        <w:rPr>
          <w:rFonts w:ascii="Arial" w:hAnsi="Arial" w:cs="Arial"/>
          <w:b/>
          <w:color w:val="7A3B2E"/>
          <w:sz w:val="32"/>
          <w:rtl/>
          <w:szCs w:val="32"/>
          <w:bCs/>
        </w:rPr>
        <w:t>מפתח תשובות – חלק א׳</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אילו תופעות טבע חוזרות בשיר “גם השנה”? כתבו שלוש.</w:t>
            </w:r>
          </w:p>
        </w:tc>
        <w:tc>
          <w:tcPr>
            <w:tcW w:type="dxa" w:w="3475"/>
          </w:tcPr>
          <w:p>
            <w:pPr>
              <w:bidi/>
              <w:jc w:val="right"/>
            </w:pPr>
            <w:r>
              <w:rPr>
                <w:rFonts w:ascii="Arial" w:hAnsi="Arial" w:cs="Arial"/>
                <w:sz w:val="22"/>
                <w:rtl/>
                <w:szCs w:val="22"/>
              </w:rPr>
              <w:t>סתיו, גשם, נשירת עלים, נדידת ציפורים, ירוק חדש.</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איך מתוארת הדמות בפתיחת שיר ההתחדשות של נעמי שמר?</w:t>
            </w:r>
          </w:p>
        </w:tc>
        <w:tc>
          <w:tcPr>
            <w:tcW w:type="dxa" w:w="3475"/>
          </w:tcPr>
          <w:p>
            <w:pPr>
              <w:bidi/>
              <w:jc w:val="right"/>
            </w:pPr>
            <w:r>
              <w:rPr>
                <w:rFonts w:ascii="Arial" w:hAnsi="Arial" w:cs="Arial"/>
                <w:sz w:val="22"/>
                <w:rtl/>
                <w:szCs w:val="22"/>
              </w:rPr>
              <w:t>עייפה ושחוקה</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השלימו: לפי נעמי שמר, אחרי ______ הכול יתחדש.</w:t>
            </w:r>
          </w:p>
        </w:tc>
        <w:tc>
          <w:tcPr>
            <w:tcW w:type="dxa" w:w="3475"/>
          </w:tcPr>
          <w:p>
            <w:pPr>
              <w:bidi/>
              <w:jc w:val="right"/>
            </w:pPr>
            <w:r>
              <w:rPr>
                <w:rFonts w:ascii="Arial" w:hAnsi="Arial" w:cs="Arial"/>
                <w:sz w:val="22"/>
                <w:rtl/>
                <w:szCs w:val="22"/>
              </w:rPr>
              <w:t>החגים</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כתבו שלוש תמונות יומיומיות מן השיר “בשנה הבאה”.</w:t>
            </w:r>
          </w:p>
        </w:tc>
        <w:tc>
          <w:tcPr>
            <w:tcW w:type="dxa" w:w="3475"/>
          </w:tcPr>
          <w:p>
            <w:pPr>
              <w:bidi/>
              <w:jc w:val="right"/>
            </w:pPr>
            <w:r>
              <w:rPr>
                <w:rFonts w:ascii="Arial" w:hAnsi="Arial" w:cs="Arial"/>
                <w:sz w:val="22"/>
                <w:rtl/>
                <w:szCs w:val="22"/>
              </w:rPr>
              <w:t>מרפסת וספירת ציפורים, ילדים משחקים תופסת, ענבים מבשילים, משקאות צוננים.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מצאו ארבעה פעלים בזמן עתיד בשירים.</w:t>
            </w:r>
          </w:p>
        </w:tc>
        <w:tc>
          <w:tcPr>
            <w:tcW w:type="dxa" w:w="3475"/>
          </w:tcPr>
          <w:p>
            <w:pPr>
              <w:bidi/>
              <w:jc w:val="right"/>
            </w:pPr>
            <w:r>
              <w:rPr>
                <w:rFonts w:ascii="Arial" w:hAnsi="Arial" w:cs="Arial"/>
                <w:sz w:val="22"/>
                <w:rtl/>
                <w:szCs w:val="22"/>
              </w:rPr>
              <w:t>למשל: יבוא, ירד, יתחדש, נשב, נספור, יבשילו.</w:t>
            </w:r>
          </w:p>
        </w:tc>
      </w:tr>
    </w:tbl>
    <w:p>
      <w:pPr>
        <w:bidi/>
        <w:jc w:val="right"/>
      </w:pPr>
    </w:p>
    <w:p>
      <w:pPr>
        <w:bidi/>
        <w:pStyle w:val="Heading2"/>
        <w:jc w:val="right"/>
      </w:pPr>
      <w:r>
        <w:rPr>
          <w:rFonts w:ascii="Arial" w:hAnsi="Arial" w:cs="Arial"/>
          <w:b/>
          <w:color w:val="7A3B2E"/>
          <w:sz w:val="32"/>
          <w:rtl/>
          <w:szCs w:val="32"/>
          <w:bCs/>
        </w:rPr>
        <w:t>מפתח תשובות – חלק 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מה תפקיד החזרה על “גם השנה” בפתיחת כל בית?</w:t>
            </w:r>
          </w:p>
        </w:tc>
        <w:tc>
          <w:tcPr>
            <w:tcW w:type="dxa" w:w="3475"/>
          </w:tcPr>
          <w:p>
            <w:pPr>
              <w:bidi/>
              <w:jc w:val="right"/>
            </w:pPr>
            <w:r>
              <w:rPr>
                <w:rFonts w:ascii="Arial" w:hAnsi="Arial" w:cs="Arial"/>
                <w:sz w:val="22"/>
                <w:rtl/>
                <w:szCs w:val="22"/>
              </w:rPr>
              <w:t>קצב רגוע וקבוע, המחקה את מחזוריות העונות ומשדר ביטחון.</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הסבירו את הניגוד בשיר של נעמי שמר.</w:t>
            </w:r>
          </w:p>
        </w:tc>
        <w:tc>
          <w:tcPr>
            <w:tcW w:type="dxa" w:w="3475"/>
          </w:tcPr>
          <w:p>
            <w:pPr>
              <w:bidi/>
              <w:jc w:val="right"/>
            </w:pPr>
            <w:r>
              <w:rPr>
                <w:rFonts w:ascii="Arial" w:hAnsi="Arial" w:cs="Arial"/>
                <w:sz w:val="22"/>
                <w:rtl/>
                <w:szCs w:val="22"/>
              </w:rPr>
              <w:t>עייפות וכובד העבר בבתים מול תקווה להתחדשות בפזמון.</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“האדמה תשתה את מי הגשם” – איזה אמצעי זה?</w:t>
            </w:r>
          </w:p>
        </w:tc>
        <w:tc>
          <w:tcPr>
            <w:tcW w:type="dxa" w:w="3475"/>
          </w:tcPr>
          <w:p>
            <w:pPr>
              <w:bidi/>
              <w:jc w:val="right"/>
            </w:pPr>
            <w:r>
              <w:rPr>
                <w:rFonts w:ascii="Arial" w:hAnsi="Arial" w:cs="Arial"/>
                <w:sz w:val="22"/>
                <w:rtl/>
                <w:szCs w:val="22"/>
              </w:rPr>
              <w:t>האנשה</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כיצד תורמים התיאורים החושיים בשיר של אהוד מנור לאווירה?</w:t>
            </w:r>
          </w:p>
        </w:tc>
        <w:tc>
          <w:tcPr>
            <w:tcW w:type="dxa" w:w="3475"/>
          </w:tcPr>
          <w:p>
            <w:pPr>
              <w:bidi/>
              <w:jc w:val="right"/>
            </w:pPr>
            <w:r>
              <w:rPr>
                <w:rFonts w:ascii="Arial" w:hAnsi="Arial" w:cs="Arial"/>
                <w:sz w:val="22"/>
                <w:rtl/>
                <w:szCs w:val="22"/>
              </w:rPr>
              <w:t>ענבים אדומים, צוננים, רוחות רעננות – מעוררים טעם, מגע וראייה ויוצרים שלווה ורעננות.</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מה המשותף לשלושת השירים ביחס לזמן?</w:t>
            </w:r>
          </w:p>
        </w:tc>
        <w:tc>
          <w:tcPr>
            <w:tcW w:type="dxa" w:w="3475"/>
          </w:tcPr>
          <w:p>
            <w:pPr>
              <w:bidi/>
              <w:jc w:val="right"/>
            </w:pPr>
            <w:r>
              <w:rPr>
                <w:rFonts w:ascii="Arial" w:hAnsi="Arial" w:cs="Arial"/>
                <w:sz w:val="22"/>
                <w:rtl/>
                <w:szCs w:val="22"/>
              </w:rPr>
              <w:t>זמן מחזורי שמביא נחמה ותקווה להתחלה חדשה.</w:t>
            </w:r>
          </w:p>
        </w:tc>
      </w:tr>
    </w:tbl>
    <w:p>
      <w:pPr>
        <w:bidi/>
        <w:jc w:val="right"/>
      </w:pPr>
    </w:p>
    <w:p>
      <w:pPr>
        <w:bidi/>
        <w:pStyle w:val="Heading2"/>
        <w:jc w:val="right"/>
      </w:pPr>
      <w:r>
        <w:rPr>
          <w:rFonts w:ascii="Arial" w:hAnsi="Arial" w:cs="Arial"/>
          <w:b/>
          <w:color w:val="7A3B2E"/>
          <w:sz w:val="32"/>
          <w:rtl/>
          <w:szCs w:val="32"/>
          <w:bCs/>
        </w:rPr>
        <w:t>מפתח תשובות – חלק 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11</w:t>
            </w:r>
          </w:p>
        </w:tc>
        <w:tc>
          <w:tcPr>
            <w:tcW w:type="dxa" w:w="3475"/>
          </w:tcPr>
          <w:p>
            <w:pPr>
              <w:bidi/>
              <w:jc w:val="right"/>
            </w:pPr>
            <w:r>
              <w:rPr>
                <w:rFonts w:ascii="Arial" w:hAnsi="Arial" w:cs="Arial"/>
                <w:sz w:val="22"/>
                <w:rtl/>
                <w:szCs w:val="22"/>
              </w:rPr>
              <w:t>כתבו “גם השנה שלי” לפי ההנחיות (8–12 שורות).</w:t>
            </w:r>
          </w:p>
        </w:tc>
        <w:tc>
          <w:tcPr>
            <w:tcW w:type="dxa" w:w="3475"/>
          </w:tcPr>
          <w:p>
            <w:pPr>
              <w:bidi/>
              <w:jc w:val="right"/>
            </w:pPr>
            <w:r>
              <w:rPr>
                <w:rFonts w:ascii="Arial" w:hAnsi="Arial" w:cs="Arial"/>
                <w:sz w:val="22"/>
                <w:rtl/>
                <w:szCs w:val="22"/>
              </w:rPr>
              <w:t>תשובה אישית – לפי המחוון.</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איזה שיר אהבתם יותר? נמקו בעזרת פרט מן השיר.</w:t>
            </w:r>
          </w:p>
        </w:tc>
        <w:tc>
          <w:tcPr>
            <w:tcW w:type="dxa" w:w="3475"/>
          </w:tcPr>
          <w:p>
            <w:pPr>
              <w:bidi/>
              <w:jc w:val="right"/>
            </w:pPr>
            <w:r>
              <w:rPr>
                <w:rFonts w:ascii="Arial" w:hAnsi="Arial" w:cs="Arial"/>
                <w:sz w:val="22"/>
                <w:rtl/>
                <w:szCs w:val="22"/>
              </w:rPr>
              <w:t>תשובה אישית מנומקת.</w:t>
            </w:r>
          </w:p>
        </w:tc>
      </w:tr>
    </w:tbl>
    <w:p>
      <w:pPr>
        <w:bidi/>
        <w:jc w:val="right"/>
      </w:pPr>
    </w:p>
    <w:p>
      <w:pPr>
        <w:bidi/>
        <w:pStyle w:val="Heading2"/>
        <w:jc w:val="right"/>
      </w:pPr>
      <w:r>
        <w:rPr>
          <w:rFonts w:ascii="Arial" w:hAnsi="Arial" w:cs="Arial"/>
          <w:b/>
          <w:color w:val="7A3B2E"/>
          <w:sz w:val="32"/>
          <w:rtl/>
          <w:szCs w:val="32"/>
          <w:bCs/>
        </w:rPr>
        <w:t>סולם שאלות לדיון – כיווני תשובה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שאלה</w:t>
            </w:r>
          </w:p>
        </w:tc>
        <w:tc>
          <w:tcPr>
            <w:tcW w:type="dxa" w:w="5213"/>
            <w:shd w:val="clear" w:fill="F3E3C8"/>
          </w:tcPr>
          <w:p>
            <w:pPr>
              <w:bidi/>
              <w:jc w:val="right"/>
            </w:pPr>
            <w:r>
              <w:rPr>
                <w:rFonts w:ascii="Arial" w:hAnsi="Arial" w:cs="Arial"/>
                <w:b/>
                <w:sz w:val="22"/>
                <w:rtl/>
                <w:szCs w:val="22"/>
                <w:bCs/>
              </w:rPr>
              <w:t>כיוון תשובה</w:t>
            </w:r>
          </w:p>
        </w:tc>
      </w:tr>
      <w:tr>
        <w:tc>
          <w:tcPr>
            <w:tcW w:type="dxa" w:w="5213"/>
          </w:tcPr>
          <w:p>
            <w:pPr>
              <w:bidi/>
              <w:jc w:val="right"/>
            </w:pPr>
            <w:r>
              <w:rPr>
                <w:rFonts w:ascii="Arial" w:hAnsi="Arial" w:cs="Arial"/>
                <w:sz w:val="22"/>
                <w:rtl/>
                <w:szCs w:val="22"/>
              </w:rPr>
              <w:t>אילו תופעות טבע מופיעות בשיר “גם השנה”? מנו ארבע.</w:t>
            </w:r>
          </w:p>
        </w:tc>
        <w:tc>
          <w:tcPr>
            <w:tcW w:type="dxa" w:w="5213"/>
          </w:tcPr>
          <w:p>
            <w:pPr>
              <w:bidi/>
              <w:jc w:val="right"/>
            </w:pPr>
            <w:r>
              <w:rPr>
                <w:rFonts w:ascii="Arial" w:hAnsi="Arial" w:cs="Arial"/>
                <w:sz w:val="22"/>
                <w:rtl/>
                <w:szCs w:val="22"/>
              </w:rPr>
              <w:t>בוא הסתיו, ירידת הגשם, נשירת עלים צהובים, נדידת הציפורים, האדמה שותה ומתכסה ירוק.</w:t>
            </w:r>
          </w:p>
        </w:tc>
      </w:tr>
      <w:tr>
        <w:tc>
          <w:tcPr>
            <w:tcW w:type="dxa" w:w="5213"/>
          </w:tcPr>
          <w:p>
            <w:pPr>
              <w:bidi/>
              <w:jc w:val="right"/>
            </w:pPr>
            <w:r>
              <w:rPr>
                <w:rFonts w:ascii="Arial" w:hAnsi="Arial" w:cs="Arial"/>
                <w:sz w:val="22"/>
                <w:rtl/>
                <w:szCs w:val="22"/>
              </w:rPr>
              <w:t>איזה ביטוי פותח כל בית בשיר של לאה גולדברג?</w:t>
            </w:r>
          </w:p>
        </w:tc>
        <w:tc>
          <w:tcPr>
            <w:tcW w:type="dxa" w:w="5213"/>
          </w:tcPr>
          <w:p>
            <w:pPr>
              <w:bidi/>
              <w:jc w:val="right"/>
            </w:pPr>
            <w:r>
              <w:rPr>
                <w:rFonts w:ascii="Arial" w:hAnsi="Arial" w:cs="Arial"/>
                <w:sz w:val="22"/>
                <w:rtl/>
                <w:szCs w:val="22"/>
              </w:rPr>
              <w:t>“גם השנה”.</w:t>
            </w:r>
          </w:p>
        </w:tc>
      </w:tr>
      <w:tr>
        <w:tc>
          <w:tcPr>
            <w:tcW w:type="dxa" w:w="5213"/>
          </w:tcPr>
          <w:p>
            <w:pPr>
              <w:bidi/>
              <w:jc w:val="right"/>
            </w:pPr>
            <w:r>
              <w:rPr>
                <w:rFonts w:ascii="Arial" w:hAnsi="Arial" w:cs="Arial"/>
                <w:sz w:val="22"/>
                <w:rtl/>
                <w:szCs w:val="22"/>
              </w:rPr>
              <w:t>איך מתוארת הדמות בבית הראשון של “אחרי החגים”?</w:t>
            </w:r>
          </w:p>
        </w:tc>
        <w:tc>
          <w:tcPr>
            <w:tcW w:type="dxa" w:w="5213"/>
          </w:tcPr>
          <w:p>
            <w:pPr>
              <w:bidi/>
              <w:jc w:val="right"/>
            </w:pPr>
            <w:r>
              <w:rPr>
                <w:rFonts w:ascii="Arial" w:hAnsi="Arial" w:cs="Arial"/>
                <w:sz w:val="22"/>
                <w:rtl/>
                <w:szCs w:val="22"/>
              </w:rPr>
              <w:t>עייפה מכדי לחשוב ומלהרגיש; נכנסת למכונית, מביטה במראה, הולכת ברחוב – שחוקה ומנותקת.</w:t>
            </w:r>
          </w:p>
        </w:tc>
      </w:tr>
      <w:tr>
        <w:tc>
          <w:tcPr>
            <w:tcW w:type="dxa" w:w="5213"/>
          </w:tcPr>
          <w:p>
            <w:pPr>
              <w:bidi/>
              <w:jc w:val="right"/>
            </w:pPr>
            <w:r>
              <w:rPr>
                <w:rFonts w:ascii="Arial" w:hAnsi="Arial" w:cs="Arial"/>
                <w:sz w:val="22"/>
                <w:rtl/>
                <w:szCs w:val="22"/>
              </w:rPr>
              <w:t>מה יתחדש אחרי החגים לפי שיר ההתחדשות של נעמי שמר?</w:t>
            </w:r>
          </w:p>
        </w:tc>
        <w:tc>
          <w:tcPr>
            <w:tcW w:type="dxa" w:w="5213"/>
          </w:tcPr>
          <w:p>
            <w:pPr>
              <w:bidi/>
              <w:jc w:val="right"/>
            </w:pPr>
            <w:r>
              <w:rPr>
                <w:rFonts w:ascii="Arial" w:hAnsi="Arial" w:cs="Arial"/>
                <w:sz w:val="22"/>
                <w:rtl/>
                <w:szCs w:val="22"/>
              </w:rPr>
              <w:t>האוויר, העפר, המטר והאש; ימי החול ישובו; וגם האנשים יתחדשו.</w:t>
            </w:r>
          </w:p>
        </w:tc>
      </w:tr>
      <w:tr>
        <w:tc>
          <w:tcPr>
            <w:tcW w:type="dxa" w:w="5213"/>
          </w:tcPr>
          <w:p>
            <w:pPr>
              <w:bidi/>
              <w:jc w:val="right"/>
            </w:pPr>
            <w:r>
              <w:rPr>
                <w:rFonts w:ascii="Arial" w:hAnsi="Arial" w:cs="Arial"/>
                <w:sz w:val="22"/>
                <w:rtl/>
                <w:szCs w:val="22"/>
              </w:rPr>
              <w:t>אילו תמונות יומיומיות מופיעות בשיר “בשנה הבאה”?</w:t>
            </w:r>
          </w:p>
        </w:tc>
        <w:tc>
          <w:tcPr>
            <w:tcW w:type="dxa" w:w="5213"/>
          </w:tcPr>
          <w:p>
            <w:pPr>
              <w:bidi/>
              <w:jc w:val="right"/>
            </w:pPr>
            <w:r>
              <w:rPr>
                <w:rFonts w:ascii="Arial" w:hAnsi="Arial" w:cs="Arial"/>
                <w:sz w:val="22"/>
                <w:rtl/>
                <w:szCs w:val="22"/>
              </w:rPr>
              <w:t>ישיבה על המרפסת וספירת ציפורים נודדות, ילדים בחופשה משחקים תופסת, ענבים מבשילים, משקאות צוננים לשולחן, רוחות שנושאות עיתונים ישנים וענן.</w:t>
            </w:r>
          </w:p>
        </w:tc>
      </w:tr>
      <w:tr>
        <w:tc>
          <w:tcPr>
            <w:tcW w:type="dxa" w:w="5213"/>
          </w:tcPr>
          <w:p>
            <w:pPr>
              <w:bidi/>
              <w:jc w:val="right"/>
            </w:pPr>
            <w:r>
              <w:rPr>
                <w:rFonts w:ascii="Arial" w:hAnsi="Arial" w:cs="Arial"/>
                <w:sz w:val="22"/>
                <w:rtl/>
                <w:szCs w:val="22"/>
              </w:rPr>
              <w:t>מה תפקיד מילת הקישור “גם” ב“גם השנה”?</w:t>
            </w:r>
          </w:p>
        </w:tc>
        <w:tc>
          <w:tcPr>
            <w:tcW w:type="dxa" w:w="5213"/>
          </w:tcPr>
          <w:p>
            <w:pPr>
              <w:bidi/>
              <w:jc w:val="right"/>
            </w:pPr>
            <w:r>
              <w:rPr>
                <w:rFonts w:ascii="Arial" w:hAnsi="Arial" w:cs="Arial"/>
                <w:sz w:val="22"/>
                <w:rtl/>
                <w:szCs w:val="22"/>
              </w:rPr>
              <w:t>היא מבטאת הוספה והמשכיות: השנה יקרה מה שקרה בכל שנה. היא יוצרת קביעות, ביטחון ונחמה – הטבע ימשיך בחוקיו.</w:t>
            </w:r>
          </w:p>
        </w:tc>
      </w:tr>
      <w:tr>
        <w:tc>
          <w:tcPr>
            <w:tcW w:type="dxa" w:w="5213"/>
          </w:tcPr>
          <w:p>
            <w:pPr>
              <w:bidi/>
              <w:jc w:val="right"/>
            </w:pPr>
            <w:r>
              <w:rPr>
                <w:rFonts w:ascii="Arial" w:hAnsi="Arial" w:cs="Arial"/>
                <w:sz w:val="22"/>
                <w:rtl/>
                <w:szCs w:val="22"/>
              </w:rPr>
              <w:t>באיזה זמן דקדוקי כתובים רוב הפעלים בשלושת השירים, ומה זה תורם?</w:t>
            </w:r>
          </w:p>
        </w:tc>
        <w:tc>
          <w:tcPr>
            <w:tcW w:type="dxa" w:w="5213"/>
          </w:tcPr>
          <w:p>
            <w:pPr>
              <w:bidi/>
              <w:jc w:val="right"/>
            </w:pPr>
            <w:r>
              <w:rPr>
                <w:rFonts w:ascii="Arial" w:hAnsi="Arial" w:cs="Arial"/>
                <w:sz w:val="22"/>
                <w:rtl/>
                <w:szCs w:val="22"/>
              </w:rPr>
              <w:t>זמן עתיד (יבוא, ירד, יתחדש, נשב, נספור, יבשילו). העתיד מבטא ציפייה, משאלה ואופטימיות – השינוי לטובה עוד לא קרה, אבל הוא בטוח או מקווה.</w:t>
            </w:r>
          </w:p>
        </w:tc>
      </w:tr>
      <w:tr>
        <w:tc>
          <w:tcPr>
            <w:tcW w:type="dxa" w:w="5213"/>
          </w:tcPr>
          <w:p>
            <w:pPr>
              <w:bidi/>
              <w:jc w:val="right"/>
            </w:pPr>
            <w:r>
              <w:rPr>
                <w:rFonts w:ascii="Arial" w:hAnsi="Arial" w:cs="Arial"/>
                <w:sz w:val="22"/>
                <w:rtl/>
                <w:szCs w:val="22"/>
              </w:rPr>
              <w:t>הסבירו את הניגוד בשיר של נעמי שמר ואת תפקיד הפזמון.</w:t>
            </w:r>
          </w:p>
        </w:tc>
        <w:tc>
          <w:tcPr>
            <w:tcW w:type="dxa" w:w="5213"/>
          </w:tcPr>
          <w:p>
            <w:pPr>
              <w:bidi/>
              <w:jc w:val="right"/>
            </w:pPr>
            <w:r>
              <w:rPr>
                <w:rFonts w:ascii="Arial" w:hAnsi="Arial" w:cs="Arial"/>
                <w:sz w:val="22"/>
                <w:rtl/>
                <w:szCs w:val="22"/>
              </w:rPr>
              <w:t>בבתים – עייפות וכובד העבר (“כל מה שקרה – קרה”); בפזמון – הבטחה להתחדשות אחרי החגים. הפזמון החוזר הוא עוגן של תקווה מול העייפות.</w:t>
            </w:r>
          </w:p>
        </w:tc>
      </w:tr>
      <w:tr>
        <w:tc>
          <w:tcPr>
            <w:tcW w:type="dxa" w:w="5213"/>
          </w:tcPr>
          <w:p>
            <w:pPr>
              <w:bidi/>
              <w:jc w:val="right"/>
            </w:pPr>
            <w:r>
              <w:rPr>
                <w:rFonts w:ascii="Arial" w:hAnsi="Arial" w:cs="Arial"/>
                <w:sz w:val="22"/>
                <w:rtl/>
                <w:szCs w:val="22"/>
              </w:rPr>
              <w:t>מדוע בחר אהוד מנור דווקא בתמונות פשוטות ויומיומיות?</w:t>
            </w:r>
          </w:p>
        </w:tc>
        <w:tc>
          <w:tcPr>
            <w:tcW w:type="dxa" w:w="5213"/>
          </w:tcPr>
          <w:p>
            <w:pPr>
              <w:bidi/>
              <w:jc w:val="right"/>
            </w:pPr>
            <w:r>
              <w:rPr>
                <w:rFonts w:ascii="Arial" w:hAnsi="Arial" w:cs="Arial"/>
                <w:sz w:val="22"/>
                <w:rtl/>
                <w:szCs w:val="22"/>
              </w:rPr>
              <w:t>כדי לומר שהטוב שאנו מקווים לו איננו דבר גדול ונדיר אלא שקט, משפחה, טבע וזמן פנוי – חיים רגילים ושלווים. כך המשאלה קרובה ואנושית.</w:t>
            </w:r>
          </w:p>
        </w:tc>
      </w:tr>
      <w:tr>
        <w:tc>
          <w:tcPr>
            <w:tcW w:type="dxa" w:w="5213"/>
          </w:tcPr>
          <w:p>
            <w:pPr>
              <w:bidi/>
              <w:jc w:val="right"/>
            </w:pPr>
            <w:r>
              <w:rPr>
                <w:rFonts w:ascii="Arial" w:hAnsi="Arial" w:cs="Arial"/>
                <w:sz w:val="22"/>
                <w:rtl/>
                <w:szCs w:val="22"/>
              </w:rPr>
              <w:t>מה המשותף ליחס לזמן בשלושת השירים?</w:t>
            </w:r>
          </w:p>
        </w:tc>
        <w:tc>
          <w:tcPr>
            <w:tcW w:type="dxa" w:w="5213"/>
          </w:tcPr>
          <w:p>
            <w:pPr>
              <w:bidi/>
              <w:jc w:val="right"/>
            </w:pPr>
            <w:r>
              <w:rPr>
                <w:rFonts w:ascii="Arial" w:hAnsi="Arial" w:cs="Arial"/>
                <w:sz w:val="22"/>
                <w:rtl/>
                <w:szCs w:val="22"/>
              </w:rPr>
              <w:t>הזמן נתפס כמעגל: עונות, חגים ושנים חוזרים. המעגל איננו מייאש אלא מבטיח התחלה חדשה – אחרי סוף בא שוב התחלה.</w:t>
            </w:r>
          </w:p>
        </w:tc>
      </w:tr>
      <w:tr>
        <w:tc>
          <w:tcPr>
            <w:tcW w:type="dxa" w:w="5213"/>
          </w:tcPr>
          <w:p>
            <w:pPr>
              <w:bidi/>
              <w:jc w:val="right"/>
            </w:pPr>
            <w:r>
              <w:rPr>
                <w:rFonts w:ascii="Arial" w:hAnsi="Arial" w:cs="Arial"/>
                <w:sz w:val="22"/>
                <w:rtl/>
                <w:szCs w:val="22"/>
              </w:rPr>
              <w:t>איזה מן השירים מדבר אליכם יותר, ולמה? נמקו בעזרת פרט מן השיר.</w:t>
            </w:r>
          </w:p>
        </w:tc>
        <w:tc>
          <w:tcPr>
            <w:tcW w:type="dxa" w:w="5213"/>
          </w:tcPr>
          <w:p>
            <w:pPr>
              <w:bidi/>
              <w:jc w:val="right"/>
            </w:pPr>
            <w:r>
              <w:rPr>
                <w:rFonts w:ascii="Arial" w:hAnsi="Arial" w:cs="Arial"/>
                <w:sz w:val="22"/>
                <w:rtl/>
                <w:szCs w:val="22"/>
              </w:rPr>
              <w:t>תשובה אישית מנומקת עם פרט מן השיר (ציטוט קצר או תיאור).</w:t>
            </w:r>
          </w:p>
        </w:tc>
      </w:tr>
      <w:tr>
        <w:tc>
          <w:tcPr>
            <w:tcW w:type="dxa" w:w="5213"/>
          </w:tcPr>
          <w:p>
            <w:pPr>
              <w:bidi/>
              <w:jc w:val="right"/>
            </w:pPr>
            <w:r>
              <w:rPr>
                <w:rFonts w:ascii="Arial" w:hAnsi="Arial" w:cs="Arial"/>
                <w:sz w:val="22"/>
                <w:rtl/>
                <w:szCs w:val="22"/>
              </w:rPr>
              <w:t>האם לדעתכם התחדשות תלויה בזמן (חגים, שנה חדשה) או בהחלטה של האדם? נמקו.</w:t>
            </w:r>
          </w:p>
        </w:tc>
        <w:tc>
          <w:tcPr>
            <w:tcW w:type="dxa" w:w="5213"/>
          </w:tcPr>
          <w:p>
            <w:pPr>
              <w:bidi/>
              <w:jc w:val="right"/>
            </w:pPr>
            <w:r>
              <w:rPr>
                <w:rFonts w:ascii="Arial" w:hAnsi="Arial" w:cs="Arial"/>
                <w:sz w:val="22"/>
                <w:rtl/>
                <w:szCs w:val="22"/>
              </w:rPr>
              <w:t>תשובה אישית: אפשר לטעון שמועדים נותנים הזדמנות ומסגרת, אבל השינוי עצמו דורש החלטה, כוחות ותמיכה; תשובה טובה מתייחסת לשירים.</w:t>
            </w:r>
          </w:p>
        </w:tc>
      </w:tr>
    </w:tbl>
    <w:p>
      <w:pPr>
        <w:bidi/>
        <w:jc w:val="right"/>
      </w:pPr>
    </w:p>
    <w:p>
      <w:pPr>
        <w:bidi/>
        <w:pStyle w:val="Heading2"/>
        <w:jc w:val="right"/>
      </w:pPr>
      <w:r>
        <w:rPr>
          <w:rFonts w:ascii="Arial" w:hAnsi="Arial" w:cs="Arial"/>
          <w:b/>
          <w:color w:val="7A3B2E"/>
          <w:sz w:val="32"/>
          <w:rtl/>
          <w:szCs w:val="32"/>
          <w:bCs/>
        </w:rPr>
        <w:t>מחוון למשימת הכתיבה (100)</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קריטריון</w:t>
            </w:r>
          </w:p>
        </w:tc>
        <w:tc>
          <w:tcPr>
            <w:tcW w:type="dxa" w:w="3475"/>
            <w:shd w:val="clear" w:fill="F3E3C8"/>
          </w:tcPr>
          <w:p>
            <w:pPr>
              <w:bidi/>
              <w:jc w:val="right"/>
            </w:pPr>
            <w:r>
              <w:rPr>
                <w:rFonts w:ascii="Arial" w:hAnsi="Arial" w:cs="Arial"/>
                <w:b/>
                <w:sz w:val="22"/>
                <w:rtl/>
                <w:szCs w:val="22"/>
                <w:bCs/>
              </w:rPr>
              <w:t>נק׳</w:t>
            </w:r>
          </w:p>
        </w:tc>
        <w:tc>
          <w:tcPr>
            <w:tcW w:type="dxa" w:w="3475"/>
            <w:shd w:val="clear" w:fill="F3E3C8"/>
          </w:tcPr>
          <w:p>
            <w:pPr>
              <w:bidi/>
              <w:jc w:val="right"/>
            </w:pPr>
            <w:r>
              <w:rPr>
                <w:rFonts w:ascii="Arial" w:hAnsi="Arial" w:cs="Arial"/>
                <w:b/>
                <w:sz w:val="22"/>
                <w:rtl/>
                <w:szCs w:val="22"/>
                <w:bCs/>
              </w:rPr>
              <w:t>תיאור</w:t>
            </w:r>
          </w:p>
        </w:tc>
      </w:tr>
      <w:tr>
        <w:tc>
          <w:tcPr>
            <w:tcW w:type="dxa" w:w="3475"/>
          </w:tcPr>
          <w:p>
            <w:pPr>
              <w:bidi/>
              <w:jc w:val="right"/>
            </w:pPr>
            <w:r>
              <w:rPr>
                <w:rFonts w:ascii="Arial" w:hAnsi="Arial" w:cs="Arial"/>
                <w:sz w:val="22"/>
                <w:rtl/>
                <w:szCs w:val="22"/>
              </w:rPr>
              <w:t>קשר לנושא ההתחדשות</w:t>
            </w:r>
          </w:p>
        </w:tc>
        <w:tc>
          <w:tcPr>
            <w:tcW w:type="dxa" w:w="3475"/>
          </w:tcPr>
          <w:p>
            <w:pPr>
              <w:bidi/>
              <w:jc w:val="right"/>
            </w:pPr>
            <w:r>
              <w:rPr>
                <w:rFonts w:ascii="Arial" w:hAnsi="Arial" w:cs="Arial"/>
                <w:sz w:val="22"/>
                <w:rtl/>
                <w:szCs w:val="22"/>
              </w:rPr>
              <w:t>25</w:t>
            </w:r>
          </w:p>
        </w:tc>
        <w:tc>
          <w:tcPr>
            <w:tcW w:type="dxa" w:w="3475"/>
          </w:tcPr>
          <w:p>
            <w:pPr>
              <w:bidi/>
              <w:jc w:val="right"/>
            </w:pPr>
            <w:r>
              <w:rPr>
                <w:rFonts w:ascii="Arial" w:hAnsi="Arial" w:cs="Arial"/>
                <w:sz w:val="22"/>
                <w:rtl/>
                <w:szCs w:val="22"/>
              </w:rPr>
              <w:t>הטקסט עוסק בהתחלה חדשה ובזמן.</w:t>
            </w:r>
          </w:p>
        </w:tc>
      </w:tr>
      <w:tr>
        <w:tc>
          <w:tcPr>
            <w:tcW w:type="dxa" w:w="3475"/>
          </w:tcPr>
          <w:p>
            <w:pPr>
              <w:bidi/>
              <w:jc w:val="right"/>
            </w:pPr>
            <w:r>
              <w:rPr>
                <w:rFonts w:ascii="Arial" w:hAnsi="Arial" w:cs="Arial"/>
                <w:sz w:val="22"/>
                <w:rtl/>
                <w:szCs w:val="22"/>
              </w:rPr>
              <w:t>זמן עתיד וחזרה</w:t>
            </w:r>
          </w:p>
        </w:tc>
        <w:tc>
          <w:tcPr>
            <w:tcW w:type="dxa" w:w="3475"/>
          </w:tcPr>
          <w:p>
            <w:pPr>
              <w:bidi/>
              <w:jc w:val="right"/>
            </w:pPr>
            <w:r>
              <w:rPr>
                <w:rFonts w:ascii="Arial" w:hAnsi="Arial" w:cs="Arial"/>
                <w:sz w:val="22"/>
                <w:rtl/>
                <w:szCs w:val="22"/>
              </w:rPr>
              <w:t>25</w:t>
            </w:r>
          </w:p>
        </w:tc>
        <w:tc>
          <w:tcPr>
            <w:tcW w:type="dxa" w:w="3475"/>
          </w:tcPr>
          <w:p>
            <w:pPr>
              <w:bidi/>
              <w:jc w:val="right"/>
            </w:pPr>
            <w:r>
              <w:rPr>
                <w:rFonts w:ascii="Arial" w:hAnsi="Arial" w:cs="Arial"/>
                <w:sz w:val="22"/>
                <w:rtl/>
                <w:szCs w:val="22"/>
              </w:rPr>
              <w:t>פעלים בעתיד וחזרה מכוונת (אנפורה או פזמון).</w:t>
            </w:r>
          </w:p>
        </w:tc>
      </w:tr>
      <w:tr>
        <w:tc>
          <w:tcPr>
            <w:tcW w:type="dxa" w:w="3475"/>
          </w:tcPr>
          <w:p>
            <w:pPr>
              <w:bidi/>
              <w:jc w:val="right"/>
            </w:pPr>
            <w:r>
              <w:rPr>
                <w:rFonts w:ascii="Arial" w:hAnsi="Arial" w:cs="Arial"/>
                <w:sz w:val="22"/>
                <w:rtl/>
                <w:szCs w:val="22"/>
              </w:rPr>
              <w:t>מילות קישור</w:t>
            </w:r>
          </w:p>
        </w:tc>
        <w:tc>
          <w:tcPr>
            <w:tcW w:type="dxa" w:w="3475"/>
          </w:tcPr>
          <w:p>
            <w:pPr>
              <w:bidi/>
              <w:jc w:val="right"/>
            </w:pPr>
            <w:r>
              <w:rPr>
                <w:rFonts w:ascii="Arial" w:hAnsi="Arial" w:cs="Arial"/>
                <w:sz w:val="22"/>
                <w:rtl/>
                <w:szCs w:val="22"/>
              </w:rPr>
              <w:t>20</w:t>
            </w:r>
          </w:p>
        </w:tc>
        <w:tc>
          <w:tcPr>
            <w:tcW w:type="dxa" w:w="3475"/>
          </w:tcPr>
          <w:p>
            <w:pPr>
              <w:bidi/>
              <w:jc w:val="right"/>
            </w:pPr>
            <w:r>
              <w:rPr>
                <w:rFonts w:ascii="Arial" w:hAnsi="Arial" w:cs="Arial"/>
                <w:sz w:val="22"/>
                <w:rtl/>
                <w:szCs w:val="22"/>
              </w:rPr>
              <w:t>שתי מילות קישור לפחות, בשימוש נכון.</w:t>
            </w:r>
          </w:p>
        </w:tc>
      </w:tr>
      <w:tr>
        <w:tc>
          <w:tcPr>
            <w:tcW w:type="dxa" w:w="3475"/>
          </w:tcPr>
          <w:p>
            <w:pPr>
              <w:bidi/>
              <w:jc w:val="right"/>
            </w:pPr>
            <w:r>
              <w:rPr>
                <w:rFonts w:ascii="Arial" w:hAnsi="Arial" w:cs="Arial"/>
                <w:sz w:val="22"/>
                <w:rtl/>
                <w:szCs w:val="22"/>
              </w:rPr>
              <w:t>לשון ותמונה חושית</w:t>
            </w:r>
          </w:p>
        </w:tc>
        <w:tc>
          <w:tcPr>
            <w:tcW w:type="dxa" w:w="3475"/>
          </w:tcPr>
          <w:p>
            <w:pPr>
              <w:bidi/>
              <w:jc w:val="right"/>
            </w:pPr>
            <w:r>
              <w:rPr>
                <w:rFonts w:ascii="Arial" w:hAnsi="Arial" w:cs="Arial"/>
                <w:sz w:val="22"/>
                <w:rtl/>
                <w:szCs w:val="22"/>
              </w:rPr>
              <w:t>30</w:t>
            </w:r>
          </w:p>
        </w:tc>
        <w:tc>
          <w:tcPr>
            <w:tcW w:type="dxa" w:w="3475"/>
          </w:tcPr>
          <w:p>
            <w:pPr>
              <w:bidi/>
              <w:jc w:val="right"/>
            </w:pPr>
            <w:r>
              <w:rPr>
                <w:rFonts w:ascii="Arial" w:hAnsi="Arial" w:cs="Arial"/>
                <w:sz w:val="22"/>
                <w:rtl/>
                <w:szCs w:val="22"/>
              </w:rPr>
              <w:t>לשון עשירה, תיאור חושי אחד לפחות, מקוריות.</w:t>
            </w:r>
          </w:p>
        </w:tc>
      </w:tr>
      <w:tr>
        <w:tc>
          <w:tcPr>
            <w:tcW w:type="dxa" w:w="3475"/>
          </w:tcPr>
          <w:p>
            <w:pPr>
              <w:bidi/>
              <w:jc w:val="right"/>
            </w:pPr>
            <w:r>
              <w:rPr>
                <w:rFonts w:ascii="Arial" w:hAnsi="Arial" w:cs="Arial"/>
                <w:sz w:val="22"/>
                <w:rtl/>
                <w:szCs w:val="22"/>
              </w:rPr>
              <w:t>סה״כ</w:t>
            </w:r>
          </w:p>
        </w:tc>
        <w:tc>
          <w:tcPr>
            <w:tcW w:type="dxa" w:w="3475"/>
          </w:tcPr>
          <w:p>
            <w:pPr>
              <w:bidi/>
              <w:jc w:val="right"/>
            </w:pPr>
            <w:r>
              <w:rPr>
                <w:rFonts w:ascii="Arial" w:hAnsi="Arial" w:cs="Arial"/>
                <w:sz w:val="22"/>
                <w:rtl/>
                <w:szCs w:val="22"/>
              </w:rPr>
              <w:t>100</w:t>
            </w:r>
          </w:p>
        </w:tc>
        <w:tc>
          <w:tcPr>
            <w:tcW w:type="dxa" w:w="347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דקות</w:t>
            </w:r>
          </w:p>
        </w:tc>
        <w:tc>
          <w:tcPr>
            <w:tcW w:type="dxa" w:w="3475"/>
            <w:shd w:val="clear" w:fill="F3E3C8"/>
          </w:tcPr>
          <w:p>
            <w:pPr>
              <w:bidi/>
              <w:jc w:val="right"/>
            </w:pPr>
            <w:r>
              <w:rPr>
                <w:rFonts w:ascii="Arial" w:hAnsi="Arial" w:cs="Arial"/>
                <w:b/>
                <w:sz w:val="22"/>
                <w:rtl/>
                <w:szCs w:val="22"/>
                <w:bCs/>
              </w:rPr>
              <w:t>שלב</w:t>
            </w:r>
          </w:p>
        </w:tc>
        <w:tc>
          <w:tcPr>
            <w:tcW w:type="dxa" w:w="3475"/>
            <w:shd w:val="clear" w:fill="F3E3C8"/>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 – בשנה הבאה אני…</w:t>
            </w:r>
          </w:p>
        </w:tc>
        <w:tc>
          <w:tcPr>
            <w:tcW w:type="dxa" w:w="3475"/>
          </w:tcPr>
          <w:p>
            <w:pPr>
              <w:bidi/>
              <w:jc w:val="right"/>
            </w:pPr>
            <w:r>
              <w:rPr>
                <w:rFonts w:ascii="Arial" w:hAnsi="Arial" w:cs="Arial"/>
                <w:sz w:val="22"/>
                <w:rtl/>
                <w:szCs w:val="22"/>
              </w:rPr>
              <w:t>כל תלמיד/ה משלימים את המשפט בכתב; כמה שיתופים מרצון.</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גולדברג – “גם השנה”</w:t>
            </w:r>
          </w:p>
        </w:tc>
        <w:tc>
          <w:tcPr>
            <w:tcW w:type="dxa" w:w="3475"/>
          </w:tcPr>
          <w:p>
            <w:pPr>
              <w:bidi/>
              <w:jc w:val="right"/>
            </w:pPr>
            <w:r>
              <w:rPr>
                <w:rFonts w:ascii="Arial" w:hAnsi="Arial" w:cs="Arial"/>
                <w:sz w:val="22"/>
                <w:rtl/>
                <w:szCs w:val="22"/>
              </w:rPr>
              <w:t>קריאה במקראה הכיתתית; מסמנים את תופעות הטבע ואת האנפורה; שאלה: מה התפקיד של “גם”?</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שמר – שיר ההתחדשות</w:t>
            </w:r>
          </w:p>
        </w:tc>
        <w:tc>
          <w:tcPr>
            <w:tcW w:type="dxa" w:w="3475"/>
          </w:tcPr>
          <w:p>
            <w:pPr>
              <w:bidi/>
              <w:jc w:val="right"/>
            </w:pPr>
            <w:r>
              <w:rPr>
                <w:rFonts w:ascii="Arial" w:hAnsi="Arial" w:cs="Arial"/>
                <w:sz w:val="22"/>
                <w:rtl/>
                <w:szCs w:val="22"/>
              </w:rPr>
              <w:t>קריאה/האזנה; טבלת ניגוד: הבתים מול הפזמון; ארבעת היסודות.</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מנור – “בשנה הבאה”</w:t>
            </w:r>
          </w:p>
        </w:tc>
        <w:tc>
          <w:tcPr>
            <w:tcW w:type="dxa" w:w="3475"/>
          </w:tcPr>
          <w:p>
            <w:pPr>
              <w:bidi/>
              <w:jc w:val="right"/>
            </w:pPr>
            <w:r>
              <w:rPr>
                <w:rFonts w:ascii="Arial" w:hAnsi="Arial" w:cs="Arial"/>
                <w:sz w:val="22"/>
                <w:rtl/>
                <w:szCs w:val="22"/>
              </w:rPr>
              <w:t>מאתרים פעלים בעתיד ותמונות חושיות; דיון: למה דווקא תמונות פשוטות?</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השוואה ולשון</w:t>
            </w:r>
          </w:p>
        </w:tc>
        <w:tc>
          <w:tcPr>
            <w:tcW w:type="dxa" w:w="3475"/>
          </w:tcPr>
          <w:p>
            <w:pPr>
              <w:bidi/>
              <w:jc w:val="right"/>
            </w:pPr>
            <w:r>
              <w:rPr>
                <w:rFonts w:ascii="Arial" w:hAnsi="Arial" w:cs="Arial"/>
                <w:sz w:val="22"/>
                <w:rtl/>
                <w:szCs w:val="22"/>
              </w:rPr>
              <w:t>בקבוצות: ממלאים טבלת השוואה (מסר, זמן הפעלים, אווירה, אמצעי, סמל השנה החדשה) + מסמנים מילות קישור.</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שורה אחת מאחד השירים שמתחברת אליי – ולמה.</w:t>
            </w:r>
          </w:p>
        </w:tc>
      </w:tr>
    </w:tbl>
    <w:p>
      <w:pPr>
        <w:bidi/>
        <w:jc w:val="right"/>
      </w:pPr>
    </w:p>
    <w:p>
      <w:pPr>
        <w:bidi/>
        <w:pStyle w:val="Heading2"/>
        <w:jc w:val="right"/>
      </w:pPr>
      <w:r>
        <w:rPr>
          <w:rFonts w:ascii="Arial" w:hAnsi="Arial" w:cs="Arial"/>
          <w:b/>
          <w:color w:val="7A3B2E"/>
          <w:sz w:val="32"/>
          <w:rtl/>
          <w:szCs w:val="32"/>
          <w:bCs/>
        </w:rPr>
        <w:t>מפת התאמות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מסלול</w:t>
            </w:r>
          </w:p>
        </w:tc>
        <w:tc>
          <w:tcPr>
            <w:tcW w:type="dxa" w:w="5213"/>
            <w:shd w:val="clear" w:fill="F3E3C8"/>
          </w:tcPr>
          <w:p>
            <w:pPr>
              <w:bidi/>
              <w:jc w:val="right"/>
            </w:pPr>
            <w:r>
              <w:rPr>
                <w:rFonts w:ascii="Arial" w:hAnsi="Arial" w:cs="Arial"/>
                <w:b/>
                <w:sz w:val="22"/>
                <w:rtl/>
                <w:szCs w:val="22"/>
                <w:bCs/>
              </w:rPr>
              <w:t>מה מותאם</w:t>
            </w:r>
          </w:p>
        </w:tc>
      </w:tr>
      <w:tr>
        <w:tc>
          <w:tcPr>
            <w:tcW w:type="dxa" w:w="5213"/>
          </w:tcPr>
          <w:p>
            <w:pPr>
              <w:bidi/>
              <w:jc w:val="right"/>
            </w:pPr>
            <w:r>
              <w:rPr>
                <w:rFonts w:ascii="Arial" w:hAnsi="Arial" w:cs="Arial"/>
                <w:sz w:val="22"/>
                <w:rtl/>
                <w:szCs w:val="22"/>
              </w:rPr>
              <w:t>חט״ב רגיל</w:t>
            </w:r>
          </w:p>
        </w:tc>
        <w:tc>
          <w:tcPr>
            <w:tcW w:type="dxa" w:w="5213"/>
          </w:tcPr>
          <w:p>
            <w:pPr>
              <w:bidi/>
              <w:jc w:val="right"/>
            </w:pPr>
            <w:r>
              <w:rPr>
                <w:rFonts w:ascii="Arial" w:hAnsi="Arial" w:cs="Arial"/>
                <w:sz w:val="22"/>
                <w:rtl/>
                <w:szCs w:val="22"/>
              </w:rPr>
              <w:t>החוברת במלואה</w:t>
            </w:r>
          </w:p>
        </w:tc>
      </w:tr>
      <w:tr>
        <w:tc>
          <w:tcPr>
            <w:tcW w:type="dxa" w:w="5213"/>
          </w:tcPr>
          <w:p>
            <w:pPr>
              <w:bidi/>
              <w:jc w:val="right"/>
            </w:pPr>
            <w:r>
              <w:rPr>
                <w:rFonts w:ascii="Arial" w:hAnsi="Arial" w:cs="Arial"/>
                <w:sz w:val="22"/>
                <w:rtl/>
                <w:szCs w:val="22"/>
              </w:rPr>
              <w:t>חנ״מ</w:t>
            </w:r>
          </w:p>
        </w:tc>
        <w:tc>
          <w:tcPr>
            <w:tcW w:type="dxa" w:w="5213"/>
          </w:tcPr>
          <w:p>
            <w:pPr>
              <w:bidi/>
              <w:jc w:val="right"/>
            </w:pPr>
            <w:r>
              <w:rPr>
                <w:rFonts w:ascii="Arial" w:hAnsi="Arial" w:cs="Arial"/>
                <w:sz w:val="22"/>
                <w:rtl/>
                <w:szCs w:val="22"/>
              </w:rPr>
              <w:t>לקרוא בקול את השאלות, לאפשר מענה בעל־פה או בבחירה מ־3 אפשרויות, בלי הגבלת זמן, רמז אחרי שתי טעויות</w:t>
            </w:r>
          </w:p>
        </w:tc>
      </w:tr>
      <w:tr>
        <w:tc>
          <w:tcPr>
            <w:tcW w:type="dxa" w:w="5213"/>
          </w:tcPr>
          <w:p>
            <w:pPr>
              <w:bidi/>
              <w:jc w:val="right"/>
            </w:pPr>
            <w:r>
              <w:rPr>
                <w:rFonts w:ascii="Arial" w:hAnsi="Arial" w:cs="Arial"/>
                <w:sz w:val="22"/>
                <w:rtl/>
                <w:szCs w:val="22"/>
              </w:rPr>
              <w:t>עולים</w:t>
            </w:r>
          </w:p>
        </w:tc>
        <w:tc>
          <w:tcPr>
            <w:tcW w:type="dxa" w:w="5213"/>
          </w:tcPr>
          <w:p>
            <w:pPr>
              <w:bidi/>
              <w:jc w:val="right"/>
            </w:pPr>
            <w:r>
              <w:rPr>
                <w:rFonts w:ascii="Arial" w:hAnsi="Arial" w:cs="Arial"/>
                <w:sz w:val="22"/>
                <w:rtl/>
                <w:szCs w:val="22"/>
              </w:rPr>
              <w:t>לצרף את טבלת המילים מעמוד היצירה באתר, משפטים קצרים, מילון בלחיצה באתר</w:t>
            </w:r>
          </w:p>
        </w:tc>
      </w:tr>
      <w:tr>
        <w:tc>
          <w:tcPr>
            <w:tcW w:type="dxa" w:w="5213"/>
          </w:tcPr>
          <w:p>
            <w:pPr>
              <w:bidi/>
              <w:jc w:val="right"/>
            </w:pPr>
            <w:r>
              <w:rPr>
                <w:rFonts w:ascii="Arial" w:hAnsi="Arial" w:cs="Arial"/>
                <w:sz w:val="22"/>
                <w:rtl/>
                <w:szCs w:val="22"/>
              </w:rPr>
              <w:t>יסודי / תיכון</w:t>
            </w:r>
          </w:p>
        </w:tc>
        <w:tc>
          <w:tcPr>
            <w:tcW w:type="dxa" w:w="5213"/>
          </w:tcPr>
          <w:p>
            <w:pPr>
              <w:bidi/>
              <w:jc w:val="right"/>
            </w:pPr>
            <w:r>
              <w:rPr>
                <w:rFonts w:ascii="Arial" w:hAnsi="Arial" w:cs="Arial"/>
                <w:sz w:val="22"/>
                <w:rtl/>
                <w:szCs w:val="22"/>
              </w:rPr>
              <w:t>לשונית "יסודי" או "תיכון" בעמוד היצירה באתר</w:t>
            </w:r>
          </w:p>
        </w:tc>
      </w:tr>
    </w:tbl>
    <w:p>
      <w:pPr>
        <w:bidi/>
        <w:jc w:val="right"/>
      </w:pP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שם השיר של נעמי שמר: “אחרי החגים” (ייתכן שבמקראה הכיתתית הוא מופיע תחת הכותרת “התחדשות”) – לוודא</w:t>
      </w:r>
    </w:p>
    <w:p>
      <w:pPr>
        <w:bidi/>
        <w:jc w:val="right"/>
      </w:pPr>
      <w:r>
        <w:rPr>
          <w:rFonts w:ascii="Arial" w:hAnsi="Arial" w:cs="Arial"/>
          <w:sz w:val="24"/>
          <w:rtl/>
          <w:szCs w:val="24"/>
        </w:rPr>
        <w:t>• שהשיר “גם השנה” הוא אכן של לאה גולדברג ואת נוסחו המדויק (מספר בתים וטורים) – לוודא מול המקראה</w:t>
      </w:r>
    </w:p>
    <w:p>
      <w:pPr>
        <w:bidi/>
        <w:jc w:val="right"/>
      </w:pPr>
      <w:r>
        <w:rPr>
          <w:rFonts w:ascii="Arial" w:hAnsi="Arial" w:cs="Arial"/>
          <w:sz w:val="24"/>
          <w:rtl/>
          <w:szCs w:val="24"/>
        </w:rPr>
        <w:t>• הציטוטים הקצרים: “כמו בכל שנה”, “והלב יתמלא מחדש”, “עייף מכדי לחשוב”, “כל מה שקרה – קרה”, “אחרי החגים הכל יתחדש”, “האוויר, העפר, המטר והאש”, “בשנה הבאה נשב על המרפסת”, “עוד תראה כמה טוב יהיה”</w:t>
      </w:r>
    </w:p>
    <w:p>
      <w:pPr>
        <w:bidi/>
        <w:jc w:val="right"/>
      </w:pPr>
      <w:r>
        <w:rPr>
          <w:rFonts w:ascii="Arial" w:hAnsi="Arial" w:cs="Arial"/>
          <w:sz w:val="24"/>
          <w:rtl/>
          <w:szCs w:val="24"/>
        </w:rPr>
        <w:t>• שנות חיים: לאה גולדברג 1911–1970, נעמי שמר 1930–2004, אהוד מנור 1941–2005</w:t>
      </w:r>
    </w:p>
    <w:p>
      <w:pPr>
        <w:bidi/>
        <w:jc w:val="right"/>
      </w:pPr>
      <w:r>
        <w:rPr>
          <w:rFonts w:ascii="Arial" w:hAnsi="Arial" w:cs="Arial"/>
          <w:sz w:val="24"/>
          <w:rtl/>
          <w:szCs w:val="24"/>
        </w:rPr>
        <w:t>• פרטי שיר ההתחדשות של נעמי שמר: הסתיו היורד על הדרך, הרוח והעלים היבשים, ימי החול שישובו</w:t>
      </w:r>
    </w:p>
    <w:p>
      <w:r>
        <w:br w:type="page"/>
      </w:r>
    </w:p>
    <w:p>
      <w:pPr>
        <w:bidi/>
        <w:pStyle w:val="Heading1"/>
        <w:jc w:val="right"/>
      </w:pPr>
      <w:r>
        <w:rPr>
          <w:rFonts w:ascii="Arial" w:hAnsi="Arial" w:cs="Arial"/>
          <w:b/>
          <w:color w:val="5B2333"/>
          <w:sz w:val="40"/>
          <w:rtl/>
          <w:szCs w:val="40"/>
          <w:bCs/>
        </w:rPr>
        <w:t>📗 חוברת התלמיד: שירי התחדשות וזמן מחזורי</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שלושה יוצרים אהובים של השירה והזמר העברי, שלושה שירים ונושא אחד: הזמן שחוזר במעגל והתקווה שבאה איתו. לאה גולדברג, משוררת שאהבה את הטבע ואת היופי שבחיי היומיום; נעמי שמר, שנולדה על שפת הכנרת וכתבה שירים שהפכו לנכסי צאן ברזל; ואהוד מנור, פזמונאי שכתב מאות שירים על געגוע ותקווה. “גם השנה”, “אחרי החגים” (שיר ההתחדשות של נעמי שמר) ו“בשנה הבאה” מלמדים אותנו שגם אחרי סתיו עייף – משהו חדש יכול להתחיל. נקרא אותם יחד, נשווה ביניהם, ונבדוק איך הלשון עצמה – זמן עתיד ומילות קישור – בונה תקווה.</w:t>
      </w:r>
    </w:p>
    <w:p>
      <w:pPr>
        <w:bidi/>
        <w:jc w:val="right"/>
      </w:pPr>
      <w:r>
        <w:rPr>
          <w:rFonts w:ascii="Arial" w:hAnsi="Arial" w:cs="Arial"/>
          <w:b/>
          <w:color w:val="7A3B2E"/>
          <w:sz w:val="26"/>
          <w:rtl/>
          <w:szCs w:val="26"/>
          <w:bCs/>
        </w:rPr>
        <w:t>▌ 🪝 לפני הקריאה</w:t>
      </w:r>
    </w:p>
    <w:p>
      <w:pPr>
        <w:bidi/>
        <w:jc w:val="right"/>
      </w:pPr>
      <w:r>
        <w:rPr>
          <w:rFonts w:ascii="Arial" w:hAnsi="Arial" w:cs="Arial"/>
          <w:sz w:val="24"/>
          <w:rtl/>
          <w:szCs w:val="24"/>
        </w:rPr>
        <w:t>השלימו בשקט את המשפט: “בשנה הבאה אני…”. אחר כך חשבו: האם המשפט שלכם מלא תקווה, דאגה או שניהם?</w:t>
      </w:r>
    </w:p>
    <w:p>
      <w:pPr>
        <w:bidi/>
        <w:jc w:val="right"/>
      </w:pPr>
      <w:r>
        <w:rPr>
          <w:rFonts w:ascii="Arial" w:hAnsi="Arial" w:cs="Arial"/>
          <w:b/>
          <w:color w:val="7A3B2E"/>
          <w:sz w:val="26"/>
          <w:rtl/>
          <w:szCs w:val="26"/>
          <w:bCs/>
        </w:rPr>
        <w:t>▌ 📗 קוראים את היצירה במקראה הכיתתית</w:t>
      </w:r>
    </w:p>
    <w:p>
      <w:pPr>
        <w:bidi/>
        <w:jc w:val="right"/>
      </w:pPr>
      <w:r>
        <w:rPr>
          <w:rFonts w:ascii="Arial" w:hAnsi="Arial" w:cs="Arial"/>
          <w:sz w:val="24"/>
          <w:rtl/>
          <w:szCs w:val="24"/>
        </w:rPr>
        <w:t>קראו את היצירה במקראה, ואז ענו על השאלות בחוברת.</w:t>
      </w:r>
    </w:p>
    <w:p>
      <w:pPr>
        <w:bidi/>
        <w:pStyle w:val="Heading2"/>
        <w:jc w:val="right"/>
      </w:pPr>
      <w:r>
        <w:rPr>
          <w:rFonts w:ascii="Arial" w:hAnsi="Arial" w:cs="Arial"/>
          <w:b/>
          <w:color w:val="7A3B2E"/>
          <w:sz w:val="32"/>
          <w:rtl/>
          <w:szCs w:val="32"/>
          <w:bCs/>
        </w:rPr>
        <w:t>⛰️ הר הסיפור שלי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שלב</w:t>
            </w:r>
          </w:p>
        </w:tc>
        <w:tc>
          <w:tcPr>
            <w:tcW w:type="dxa" w:w="5213"/>
            <w:shd w:val="clear" w:fill="F3E3C8"/>
          </w:tcPr>
          <w:p>
            <w:pPr>
              <w:bidi/>
              <w:jc w:val="right"/>
            </w:pPr>
            <w:r>
              <w:rPr>
                <w:rFonts w:ascii="Arial" w:hAnsi="Arial" w:cs="Arial"/>
                <w:b/>
                <w:sz w:val="22"/>
                <w:rtl/>
                <w:szCs w:val="22"/>
                <w:bCs/>
              </w:rPr>
              <w:t>מה קורה? (כתבו במילים שלכם)</w:t>
            </w:r>
          </w:p>
        </w:tc>
      </w:tr>
      <w:tr>
        <w:tc>
          <w:tcPr>
            <w:tcW w:type="dxa" w:w="5213"/>
          </w:tcPr>
          <w:p>
            <w:pPr>
              <w:bidi/>
              <w:jc w:val="right"/>
            </w:pPr>
            <w:r>
              <w:rPr>
                <w:rFonts w:ascii="Arial" w:hAnsi="Arial" w:cs="Arial"/>
                <w:sz w:val="22"/>
                <w:rtl/>
                <w:szCs w:val="22"/>
              </w:rPr>
              <w:t>פתיחה</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התפתחות</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תפנית</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התפתחות שנייה</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סיום</w:t>
            </w:r>
          </w:p>
        </w:tc>
        <w:tc>
          <w:tcPr>
            <w:tcW w:type="dxa" w:w="5213"/>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 כרטיס דמות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דמות</w:t>
            </w:r>
          </w:p>
        </w:tc>
        <w:tc>
          <w:tcPr>
            <w:tcW w:type="dxa" w:w="2085"/>
            <w:shd w:val="clear" w:fill="F3E3C8"/>
          </w:tcPr>
          <w:p>
            <w:pPr>
              <w:bidi/>
              <w:jc w:val="right"/>
            </w:pPr>
            <w:r>
              <w:rPr>
                <w:rFonts w:ascii="Arial" w:hAnsi="Arial" w:cs="Arial"/>
                <w:b/>
                <w:sz w:val="22"/>
                <w:rtl/>
                <w:szCs w:val="22"/>
                <w:bCs/>
              </w:rPr>
              <w:t>ראשית/משנית</w:t>
            </w:r>
          </w:p>
        </w:tc>
        <w:tc>
          <w:tcPr>
            <w:tcW w:type="dxa" w:w="2085"/>
            <w:shd w:val="clear" w:fill="F3E3C8"/>
          </w:tcPr>
          <w:p>
            <w:pPr>
              <w:bidi/>
              <w:jc w:val="right"/>
            </w:pPr>
            <w:r>
              <w:rPr>
                <w:rFonts w:ascii="Arial" w:hAnsi="Arial" w:cs="Arial"/>
                <w:b/>
                <w:sz w:val="22"/>
                <w:rtl/>
                <w:szCs w:val="22"/>
                <w:bCs/>
              </w:rPr>
              <w:t>עגולה/שטוחה</w:t>
            </w:r>
          </w:p>
        </w:tc>
        <w:tc>
          <w:tcPr>
            <w:tcW w:type="dxa" w:w="2085"/>
            <w:shd w:val="clear" w:fill="F3E3C8"/>
          </w:tcPr>
          <w:p>
            <w:pPr>
              <w:bidi/>
              <w:jc w:val="right"/>
            </w:pPr>
            <w:r>
              <w:rPr>
                <w:rFonts w:ascii="Arial" w:hAnsi="Arial" w:cs="Arial"/>
                <w:b/>
                <w:sz w:val="22"/>
                <w:rtl/>
                <w:szCs w:val="22"/>
                <w:bCs/>
              </w:rPr>
              <w:t>דינמית/סטטית</w:t>
            </w:r>
          </w:p>
        </w:tc>
        <w:tc>
          <w:tcPr>
            <w:tcW w:type="dxa" w:w="2085"/>
            <w:shd w:val="clear" w:fill="F3E3C8"/>
          </w:tcPr>
          <w:p>
            <w:pPr>
              <w:bidi/>
              <w:jc w:val="right"/>
            </w:pPr>
            <w:r>
              <w:rPr>
                <w:rFonts w:ascii="Arial" w:hAnsi="Arial" w:cs="Arial"/>
                <w:b/>
                <w:sz w:val="22"/>
                <w:rtl/>
                <w:szCs w:val="22"/>
                <w:bCs/>
              </w:rPr>
              <w:t>תכונה + הוכחה</w:t>
            </w:r>
          </w:p>
        </w:tc>
      </w:tr>
      <w:tr>
        <w:tc>
          <w:tcPr>
            <w:tcW w:type="dxa" w:w="2085"/>
          </w:tcPr>
          <w:p>
            <w:pPr>
              <w:bidi/>
              <w:jc w:val="right"/>
            </w:pPr>
            <w:r>
              <w:rPr>
                <w:rFonts w:ascii="Arial" w:hAnsi="Arial" w:cs="Arial"/>
                <w:sz w:val="22"/>
                <w:rtl/>
                <w:szCs w:val="22"/>
              </w:rPr>
              <w:t>הדוברת בשיר “גם השנה” (גולדברג)</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הדמות העייפה בשיר “אחרי החגים” (שמר)</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הדובר בשיר “בשנה הבאה” (מנור)</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חלק א׳ – הבנה ומידע</w:t>
      </w:r>
    </w:p>
    <w:p>
      <w:pPr>
        <w:bidi/>
        <w:jc w:val="right"/>
      </w:pPr>
      <w:r>
        <w:rPr>
          <w:rFonts w:ascii="Arial" w:hAnsi="Arial" w:cs="Arial"/>
          <w:sz w:val="24"/>
          <w:rtl/>
          <w:szCs w:val="24"/>
        </w:rPr>
        <w:t>1. אילו תופעות טבע חוזרות בשיר “גם השנה”? כתבו שלוש.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2. איך מתוארת הדמות בפתיחת שיר ההתחדשות של נעמי שמר?</w:t>
      </w:r>
    </w:p>
    <w:p>
      <w:pPr>
        <w:bidi/>
        <w:jc w:val="right"/>
      </w:pPr>
      <w:r>
        <w:rPr>
          <w:rFonts w:ascii="Arial" w:hAnsi="Arial" w:cs="Arial"/>
          <w:sz w:val="24"/>
          <w:rtl/>
          <w:szCs w:val="24"/>
        </w:rPr>
        <w:t xml:space="preserve">   ◯ א. עייפה ושחוקה</w:t>
      </w:r>
    </w:p>
    <w:p>
      <w:pPr>
        <w:bidi/>
        <w:jc w:val="right"/>
      </w:pPr>
      <w:r>
        <w:rPr>
          <w:rFonts w:ascii="Arial" w:hAnsi="Arial" w:cs="Arial"/>
          <w:sz w:val="24"/>
          <w:rtl/>
          <w:szCs w:val="24"/>
        </w:rPr>
        <w:t xml:space="preserve">   ◯ ב. שמחה ורוקדת</w:t>
      </w:r>
    </w:p>
    <w:p>
      <w:pPr>
        <w:bidi/>
        <w:jc w:val="right"/>
      </w:pPr>
      <w:r>
        <w:rPr>
          <w:rFonts w:ascii="Arial" w:hAnsi="Arial" w:cs="Arial"/>
          <w:sz w:val="24"/>
          <w:rtl/>
          <w:szCs w:val="24"/>
        </w:rPr>
        <w:t xml:space="preserve">   ◯ ג. כועסת</w:t>
      </w:r>
    </w:p>
    <w:p>
      <w:pPr>
        <w:bidi/>
        <w:jc w:val="right"/>
      </w:pPr>
      <w:r>
        <w:rPr>
          <w:rFonts w:ascii="Arial" w:hAnsi="Arial" w:cs="Arial"/>
          <w:sz w:val="24"/>
          <w:rtl/>
          <w:szCs w:val="24"/>
        </w:rPr>
        <w:t>3. השלימו: לפי נעמי שמר, אחרי ______ הכול יתחדש.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כתבו שלוש תמונות יומיומיות מן השיר “בשנה הבאה”.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מצאו ארבעה פעלים בזמן עתיד בשירים.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ב׳ – פרשנות ואמצעים אומנותיים</w:t>
      </w:r>
    </w:p>
    <w:p>
      <w:pPr>
        <w:bidi/>
        <w:jc w:val="right"/>
      </w:pPr>
      <w:r>
        <w:rPr>
          <w:rFonts w:ascii="Arial" w:hAnsi="Arial" w:cs="Arial"/>
          <w:sz w:val="24"/>
          <w:rtl/>
          <w:szCs w:val="24"/>
        </w:rPr>
        <w:t>6. מה תפקיד החזרה על “גם השנה” בפתיחת כל בית?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7. הסבירו את הניגוד בשיר של נעמי שמר.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8. “האדמה תשתה את מי הגשם” – איזה אמצעי זה?</w:t>
      </w:r>
    </w:p>
    <w:p>
      <w:pPr>
        <w:bidi/>
        <w:jc w:val="right"/>
      </w:pPr>
      <w:r>
        <w:rPr>
          <w:rFonts w:ascii="Arial" w:hAnsi="Arial" w:cs="Arial"/>
          <w:sz w:val="24"/>
          <w:rtl/>
          <w:szCs w:val="24"/>
        </w:rPr>
        <w:t xml:space="preserve">   ◯ א. האנשה</w:t>
      </w:r>
    </w:p>
    <w:p>
      <w:pPr>
        <w:bidi/>
        <w:jc w:val="right"/>
      </w:pPr>
      <w:r>
        <w:rPr>
          <w:rFonts w:ascii="Arial" w:hAnsi="Arial" w:cs="Arial"/>
          <w:sz w:val="24"/>
          <w:rtl/>
          <w:szCs w:val="24"/>
        </w:rPr>
        <w:t xml:space="preserve">   ◯ ב. דימוי</w:t>
      </w:r>
    </w:p>
    <w:p>
      <w:pPr>
        <w:bidi/>
        <w:jc w:val="right"/>
      </w:pPr>
      <w:r>
        <w:rPr>
          <w:rFonts w:ascii="Arial" w:hAnsi="Arial" w:cs="Arial"/>
          <w:sz w:val="24"/>
          <w:rtl/>
          <w:szCs w:val="24"/>
        </w:rPr>
        <w:t xml:space="preserve">   ◯ ג. ניגוד</w:t>
      </w:r>
    </w:p>
    <w:p>
      <w:pPr>
        <w:bidi/>
        <w:jc w:val="right"/>
      </w:pPr>
      <w:r>
        <w:rPr>
          <w:rFonts w:ascii="Arial" w:hAnsi="Arial" w:cs="Arial"/>
          <w:sz w:val="24"/>
          <w:rtl/>
          <w:szCs w:val="24"/>
        </w:rPr>
        <w:t>9. כיצד תורמים התיאורים החושיים בשיר של אהוד מנור לאווירה?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10. מה המשותף לשלושת השירים ביחס לזמן?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ג׳ – כתיבה והערכה</w:t>
      </w:r>
    </w:p>
    <w:p>
      <w:pPr>
        <w:bidi/>
        <w:jc w:val="right"/>
      </w:pPr>
      <w:r>
        <w:rPr>
          <w:rFonts w:ascii="Arial" w:hAnsi="Arial" w:cs="Arial"/>
          <w:sz w:val="24"/>
          <w:rtl/>
          <w:szCs w:val="24"/>
        </w:rPr>
        <w:t>11. כתבו “גם השנה שלי” לפי ההנחיות (8–12 שורות).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12. איזה שיר אהבתם יותר? נמקו בעזרת פרט מן השיר.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 משימת כתיבה</w:t>
      </w:r>
    </w:p>
    <w:p>
      <w:pPr>
        <w:bidi/>
        <w:jc w:val="right"/>
      </w:pPr>
      <w:r>
        <w:rPr>
          <w:rFonts w:ascii="Arial" w:hAnsi="Arial" w:cs="Arial"/>
          <w:sz w:val="24"/>
          <w:rtl/>
          <w:szCs w:val="24"/>
        </w:rPr>
        <w:t>כתבו שיר קצר או פסקה בשם “גם השנה שלי” (8–12 שורות) על התחלה חדשה בחייכם. השתמשו בזמן עתיד, בחזרה על ביטוי בפתיחת שורות, ובשתי מילות קישור לפחות (גם, כמו, אבל, כי, ולכן).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1. שורה אחת מהשירים שמתחברת אליי:</w:t>
      </w:r>
    </w:p>
    <w:p>
      <w:pPr>
        <w:bidi/>
        <w:jc w:val="right"/>
      </w:pPr>
      <w:r>
        <w:rPr>
          <w:rFonts w:ascii="Arial" w:hAnsi="Arial" w:cs="Arial"/>
          <w:sz w:val="24"/>
          <w:rtl/>
          <w:szCs w:val="24"/>
        </w:rPr>
        <w:t>2. מילת קישור אחת ומה תפקידה בשיר:</w:t>
      </w:r>
    </w:p>
    <w:p>
      <w:pPr>
        <w:bidi/>
        <w:jc w:val="right"/>
      </w:pPr>
      <w:r>
        <w:rPr>
          <w:rFonts w:ascii="Arial" w:hAnsi="Arial" w:cs="Arial"/>
          <w:sz w:val="24"/>
          <w:rtl/>
          <w:szCs w:val="24"/>
        </w:rPr>
        <w:t>3. התחלה חדשה שאני מאחל/ת לעצמי: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למידה עצמית: שירי התחדשות וזמן מחזורי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